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0019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02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(резолютивная часть постановления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оглашена 29.01.2026)</w:t>
      </w:r>
    </w:p>
    <w:p>
      <w:pPr>
        <w:spacing w:before="0" w:after="0"/>
        <w:jc w:val="right"/>
      </w:pP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308,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защитника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Бушланова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А.В., </w:t>
      </w:r>
      <w:r>
        <w:rPr>
          <w:rStyle w:val="cat-UserDefinedgrp-63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административного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специалиста-эксперта территориального отдела Управления Федеральной службы по надзору в сфере защиты прав потребителей и благополучия человека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>Шайхутдиновой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И.И.,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нарушении, 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15.12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Кудбидинова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Мехридина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Мухидиновича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6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 августа 2025 в 16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должностным лицом Управления Федеральной службы по надзору в сфере защиты прав потребителей и благополучия человека по Ханты-Мансийскому автономному округу – Югре в ходе изучения материалов УМВД России по г. Сургуту КУСП 11401 от 18.04.2025 было установ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лено, что 18 апреля 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в 11 ч</w:t>
      </w:r>
      <w:r>
        <w:rPr>
          <w:rFonts w:ascii="Times New Roman" w:eastAsia="Times New Roman" w:hAnsi="Times New Roman" w:cs="Times New Roman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sz w:val="28"/>
          <w:szCs w:val="28"/>
        </w:rPr>
        <w:t>ов 30 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65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ИП </w:t>
      </w:r>
      <w:r>
        <w:rPr>
          <w:rFonts w:ascii="Times New Roman" w:eastAsia="Times New Roman" w:hAnsi="Times New Roman" w:cs="Times New Roman"/>
          <w:sz w:val="28"/>
          <w:szCs w:val="28"/>
        </w:rPr>
        <w:t>Кудбидинова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М.М. </w:t>
      </w:r>
      <w:r>
        <w:rPr>
          <w:rStyle w:val="cat-UserDefinedgrp-66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обороте обнаружена обувь и продукция легкой промышленности без средств идентификации </w:t>
      </w:r>
      <w:r>
        <w:rPr>
          <w:rFonts w:ascii="Times New Roman" w:eastAsia="Times New Roman" w:hAnsi="Times New Roman" w:cs="Times New Roman"/>
          <w:sz w:val="28"/>
          <w:szCs w:val="28"/>
        </w:rPr>
        <w:t>DataMatrix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информации, нанесение которой является обязательной в соответствии с законодательством Российской Федерации, а также без товарно-сопроводительной документации и документов, подтверждающих качество и безопасность такой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п.2 постановления Правительства РФ от 05.07.2019 №860 «Об утверждении Правил маркировки обувных товаров средствами идентификации и ос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бенностях внедрения государственной информационной системы мониторинга за оборотом товаров, подлежащих обязательной маркировке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средствами идентификации в отношении обувных товаров»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п.3 постановления Правительства РФ от 31.12.2019 №1956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Правил маркировки товаров легкой промышленности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идентификации и особенностях внедрения государственной информационной системы мониторинга за оборотов товаров, подлежащих обязательной маркировке средствами идентификации, в отношении товаров легкой промышленности»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протоколу осмотра места происшествия от 18.04.2025 всего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было обнаружено и изъято 395 наименований обуви и продукции легкой промышленности, выставленной в торговом помещении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прилавках и вдоль них,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наклеенными на них ценниками.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r>
        <w:rPr>
          <w:rFonts w:ascii="Times New Roman" w:eastAsia="Times New Roman" w:hAnsi="Times New Roman" w:cs="Times New Roman"/>
          <w:sz w:val="28"/>
          <w:szCs w:val="28"/>
        </w:rPr>
        <w:t>Кудбидинов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надлежащим образом,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r>
        <w:rPr>
          <w:rFonts w:ascii="Times New Roman" w:eastAsia="Times New Roman" w:hAnsi="Times New Roman" w:cs="Times New Roman"/>
          <w:sz w:val="28"/>
          <w:szCs w:val="28"/>
        </w:rPr>
        <w:t>Кудбидинова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Бушланов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 в судебном заседании не согласился с доводами, изложенными в протоколе об административном правонарушении, мотивируя свою позицию тем, что при осмотре и изъятии продукции, применялись специальные технические средства для сканирования штрих-кодов, однако,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не содержит в себе сведений о наименовании специального технического средства, а также о наличии на это средство сертификатов и сведений о поверке. Помимо этого, диспозиция ч.2 ст.15.12 КоАП РФ содержит в себе конкретизированное действия объективной стороны административного правонарушения, а именно продажа товаров и продукции без маркировки, а также хранение, перевозка либо приобретение таких товаров и продукции в целях сбыта. Однако, вышеуказанных сведений протокол не содержит, вменяется лишь оборот немаркированной продукции.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контрольная закупка не производилась, факта продажи товаров не установлено. </w:t>
      </w:r>
      <w:r>
        <w:rPr>
          <w:rFonts w:ascii="Times New Roman" w:eastAsia="Times New Roman" w:hAnsi="Times New Roman" w:cs="Times New Roman"/>
          <w:sz w:val="28"/>
          <w:szCs w:val="28"/>
        </w:rPr>
        <w:t>По мнению защитника, протокол об административном правонарушении подлежит возвращению в орган в связи с неполнотой представленных материалов, которая не может быть восполнена при рассмотрении дела в суде. В случае если суд придет к выводу о назначении наказания, просил не применять конфискацию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продукция является качественной и соответствующей всем требованиям, просто ИП </w:t>
      </w:r>
      <w:r>
        <w:rPr>
          <w:rFonts w:ascii="Times New Roman" w:eastAsia="Times New Roman" w:hAnsi="Times New Roman" w:cs="Times New Roman"/>
          <w:sz w:val="28"/>
          <w:szCs w:val="28"/>
        </w:rPr>
        <w:t>Кудбидинов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М.М. не успел ее промаркировать.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Определением мирового судьи от 29.01.2026 в удовлетворении ходатайства о возвращении протокола об административном правонарушении в административный орган отказано.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Представитель административного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Шайхутдинова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И.И. в судебном заседании доводы, изложенные в протоколе об административном правонарушении, поддержала в полном объеме, просила суд 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r>
        <w:rPr>
          <w:rFonts w:ascii="Times New Roman" w:eastAsia="Times New Roman" w:hAnsi="Times New Roman" w:cs="Times New Roman"/>
          <w:sz w:val="28"/>
          <w:szCs w:val="28"/>
        </w:rPr>
        <w:t>Кудбидинова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 административной ответственности, поскольку в ходе проверки магазина сотрудниками полиции были обнаружены обувь и другие товары легкой промышленности немаркированные в установленном законом порядке. При этом в ходе проверки указанные товары находились в торговом зале, были выставлены на прилавках как товар с установленными на них ценниками, что прямо свидетельствует о их реализации. Под оборотом, в том числе, понимается хранение, перевозка и продажа товаров, что и было установлено в ходе проверки. Маркировка товаров легкой промышленности, обуви является обязательной с 2021 года. Маркировка осуществляется изготовителем. ИП </w:t>
      </w:r>
      <w:r>
        <w:rPr>
          <w:rFonts w:ascii="Times New Roman" w:eastAsia="Times New Roman" w:hAnsi="Times New Roman" w:cs="Times New Roman"/>
          <w:sz w:val="28"/>
          <w:szCs w:val="28"/>
        </w:rPr>
        <w:t>Кудбидинов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М.М. никаким образом не имеет возможности сам маркировать или </w:t>
      </w:r>
      <w:r>
        <w:rPr>
          <w:rFonts w:ascii="Times New Roman" w:eastAsia="Times New Roman" w:hAnsi="Times New Roman" w:cs="Times New Roman"/>
          <w:sz w:val="28"/>
          <w:szCs w:val="28"/>
        </w:rPr>
        <w:t>перемаркировать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указанные товары. Маркировка «Честный знак» проверяется без применения каких-либо специальных средств</w:t>
      </w:r>
      <w:r>
        <w:rPr>
          <w:rFonts w:ascii="Times New Roman" w:eastAsia="Times New Roman" w:hAnsi="Times New Roman" w:cs="Times New Roman"/>
          <w:sz w:val="28"/>
          <w:szCs w:val="28"/>
        </w:rPr>
        <w:t>. Каждый потребитель имеет возможность через мобильное приложение с использованием смартфона проверить товар на наличие его маркировки и соответствие товара требованиям закона. Мобильное приложение «Честный знак» находится в свободном доступе. Представленные защитником копии 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воров, заключенных ИП </w:t>
      </w:r>
      <w:r>
        <w:rPr>
          <w:rFonts w:ascii="Times New Roman" w:eastAsia="Times New Roman" w:hAnsi="Times New Roman" w:cs="Times New Roman"/>
          <w:sz w:val="28"/>
          <w:szCs w:val="28"/>
        </w:rPr>
        <w:t>Кудбидиновым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ООО «Оператор-ЦРПТ» о подключении к ГИС мониторинга за оборотом товаров, подлежащих обязательной маркировке средствами идентификации, и на оказание услуг по предоставлению кодов маркировки участнику оборота обувных товаров и товаров легкой промышленности не имеют никакого отношения к обнаруженным сотрудниками полиции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товарам, которые уже были выставлены на продажу, при этом указанные товары не имели необходимой маркировки.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заслушав лиц, участвующих в деле, суд пришел к следующим выводам.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r>
        <w:rPr>
          <w:rFonts w:ascii="Times New Roman" w:eastAsia="Times New Roman" w:hAnsi="Times New Roman" w:cs="Times New Roman"/>
          <w:sz w:val="28"/>
          <w:szCs w:val="28"/>
        </w:rPr>
        <w:t>Кудбидинова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нарушения, предусмотренного ч.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15.12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из ЕГИП;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осмотра места происшествия от 18.04.2025; объяснения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>Ходжаиброгимова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Б.А.; копия паспорта; копия доверенности; копия договора аренды помещения; рапорт сотрудника полиции; сведения о направлении запроса; сведения о направлении ответа; выписка из ЕГРИП; списки почтовых отправлений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другие материалы дела.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«д»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2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РФ от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г.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860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"Об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далее Постановление Правительства № </w:t>
      </w:r>
      <w:r>
        <w:rPr>
          <w:rFonts w:ascii="Times New Roman" w:eastAsia="Times New Roman" w:hAnsi="Times New Roman" w:cs="Times New Roman"/>
          <w:sz w:val="28"/>
          <w:szCs w:val="28"/>
        </w:rPr>
        <w:t>860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участники оборота обувных товаров в соответствии с утвержденными настоящим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72289660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Правилами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с 1 июля 2020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г. вносят в информационную систему мониторинга сведения о маркировке обувных товаров, а также о вводе обувных товаров в оборот, их обороте и выводе из оборота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72289660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Правилами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утвержденными настоящим постановлением и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обязательным с 01 июля 2020 (</w:t>
      </w:r>
      <w:r>
        <w:rPr>
          <w:rFonts w:ascii="Times New Roman" w:eastAsia="Times New Roman" w:hAnsi="Times New Roman" w:cs="Times New Roman"/>
          <w:sz w:val="28"/>
          <w:szCs w:val="28"/>
        </w:rPr>
        <w:t>абз</w:t>
      </w:r>
      <w:r>
        <w:rPr>
          <w:rFonts w:ascii="Times New Roman" w:eastAsia="Times New Roman" w:hAnsi="Times New Roman" w:cs="Times New Roman"/>
          <w:sz w:val="28"/>
          <w:szCs w:val="28"/>
        </w:rPr>
        <w:t>. 2 п. 3 постановления Правительства РФ от 05.07.2019 № 860).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Российской Федерации ввод в оборот обувных товаров без нанесения на них средств идентификации и передачи в информационную систему мониторинга сведений о маркировке обувных товаров средствами идентификации, а также оборот и вывод из оборота обувных товаров, не маркированных средствами идентификации, допускается до 01 июля 2020, за исключением случаев, предусмотренных подпунктами "е" и "ж" пункта 2 настоящего постановления (</w:t>
      </w:r>
      <w:r>
        <w:rPr>
          <w:rFonts w:ascii="Times New Roman" w:eastAsia="Times New Roman" w:hAnsi="Times New Roman" w:cs="Times New Roman"/>
          <w:sz w:val="28"/>
          <w:szCs w:val="28"/>
        </w:rPr>
        <w:t>абз</w:t>
      </w:r>
      <w:r>
        <w:rPr>
          <w:rFonts w:ascii="Times New Roman" w:eastAsia="Times New Roman" w:hAnsi="Times New Roman" w:cs="Times New Roman"/>
          <w:sz w:val="28"/>
          <w:szCs w:val="28"/>
        </w:rPr>
        <w:t>. 1 п. 6 Постановления № 860).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2 «Правил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товаров", утвержденных Постановлением № 860 (далее – Правила № 860) под "объемными товарами" понимается продукция, продукция, включенная в товарную группу "Обувь" с кодами товарной номенклатуры 6401 - 6405, а также в группу товаров, соответствующую кодам Общероссийского классификатора продукции по видам экономической деятельности: 15.20.11, 15.20.12, 15.20.13, 15.20.14, 15.20.21, 15.20.29, 15.20.31, </w:t>
      </w:r>
      <w:r>
        <w:rPr>
          <w:rFonts w:ascii="Times New Roman" w:eastAsia="Times New Roman" w:hAnsi="Times New Roman" w:cs="Times New Roman"/>
          <w:sz w:val="28"/>
          <w:szCs w:val="28"/>
        </w:rPr>
        <w:t>15.20.32 и 32.30.12, в которую включены различные типы обуви (в том числе галоши) независимо от ее фасона и размера, конкретного назначения, способа производства или материалов, из которых она изготовлена, за исключением продуктов труда ремесленников, определяемых законодательством субъектов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"оборотом обувных товаров" понимается хранение, транспортировка, получение и передача обувных товаров, в том числе их приобретение и реализация (продажа) на территории РФ; под "объемными товарами" понимается продукция, продукция, включенная в товарную группу "Обувь" с кодами товарной номенклатуры 6401 - 6405, а также в группу товаров, соответствующую кодам Общероссийского классификатора продукции по видам экономической деятельности: 15.20.11, 15.20.12, 15.20.13, 15.20.14, 15.20.21, 15.20.29, 15.20.31, 15.20.32 и 32.30.12, в которую включены различные типы обуви (в том числе галоши) независимо от ее фасона и размера, конкретного назначения, способа производства или материалов, из которых она изготовлена, за исключением продуктов труда ремесленников, определяемых законодательством субъектов Российской Федерации. Под "оборотом обувных товаров" понимается хранение, транспортировка, получение и передача обувных товаров, в том числе их приобретение и реализация (продажа) на территории РФ; под "выводом обувных товаров из оборота" понимается в том числе реализация (продажа) маркированных обувных товаров физическому лицу для личного потребления (п. 2 Правил № 860).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передаче (приемке) обувных товаров в рамках сделок, предусматривающих переход права собственности на указанные товары, а также в рамках договоров комиссии и (или) агентских договоров, и (или) договоров подряда, и (или) договоров поручения участник оборота обувных товаров, осуществляющий отгрузку (приемку) обувных товаров, формирует уведомление о передаче (приемке) обувных товаров (в форме универсального передаточного документа с указанием вида сделки, в рамках которой осуществляется отгрузка), подписывает его усиленной электронной подписью и направляет в информационную систему мониторинга в срок не более 3 рабочих дней со дня отгрузки (передачи или приемки) обувных товаров через оператора электронного документооборота (п. 64 Правил).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полной приемки обувных товаров участник оборота обувных товаров, осуществляющий приемку обувных товаров, подписывает усиленной электронной подписью уведомление о передаче (приемке) обувных товаров и направляет его в информационную систему мониторинга в срок не более 3 рабочих дней со дня приема обувных товаров, но не позднее дня передачи этих обувных товаров третьим лицам (п. 65 Правил).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 оборота обувных товаров, осуществляющие оптовую и розничную продажу маркированных обувных товаров, представляют оператору информационной системы мониторинга информацию о вывозе из оборота обувных товаров с применением контрольно-кассовой техники, за исключением участников оборота обувных товаров,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которые вправе не применять контрольно-кассовую технику при осуществлении расчетов в соответствии с законодательством Российской Федерации о применении контрольно-кассовой техники (п. 74 Правил).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22 Правил № 860, ответственность за полноту, достоверность и своевременность направляемых в информационную систему мониторинга сведений несут участники оборота обувных товаров, представляющие информацию.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10 Закона Российской Федерации № 2300-1 от 07.02.1992 "О защите прав потребителей"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доведения информации до потребителя устанавливаются Правительством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Информация, предусмотренная пунктом 2 настоящей статьи, доводится до сведения потребителей в технической документации, прилагаемой к товарам (работам, услугам), на этикетках, маркировкой или иным способом, принятым для отдельных видов товаров (работ, услуг). Информация об обязательном подтверждении соответствия товаров представляется в порядке и способами, которые установлены законодательством Российской Федерации о техническом регулировании, и включает в себя сведения о номере документа, подтверждающего такое соответствие, о сроке его действия и об организации, его выдающей.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31.12.2019 № 1956 утверждены Правила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товаров легкой промышленности (далее по тексту также - Правила).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3 Правил № 1956, нанесение средств идентификации на потребительскую упаковку, или на товары легкой промышленности, или ярлык, или этикетку товаров легкой промышленности, ввозимых на территорию Российской Федерации или произведенных на территории Российской Федерации, в соответствии с Правилами, утвержденными настоящим постановлением, для товаров легкой промышленности, указанных в подпункте "д" пункта 2 настоящего постановления, является обязательным с 01 января 2021, для товаров легкой промышленности, указанных в подпункте "з" пункта 2 настоящего постановления, - с 01 апреля 2024, для товаров легкой промышленности, указанных в подпункте "л" пункта 2 настоящего постановления, - с 01 марта 2025.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5 ст. 1 Технического регламента Таможенного союза о безопасности продукции легкой промышленности, утвержденного Решением Комиссии Таможенного союза от 09.12.2011 № 876 (ТР ТС 017/2011), данный технический регламент устанавливает обязательные на территории Таможенного союза требования к продукции легкой промышленности в целях защиты жизни и здоровья человека, а также предупреждения действий, вводящих в заблуждение пользователей (потребителей) продукции.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п. 1 - 3 ст. 9 ТР ТС 017/2011 при размещении и обращении продукции на рынке должна предоставляться полная и достоверная информация о ней путем маркировки в целях предупреждения действий, вводящих в заблуждение пользователей (потребителей) относительно безопасности продукции.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Маркировка продукции должна содержать обязательную информацию о наименованиях продукции, страны-изготовителя, изготовителя, или продавца или уполномоченного изготовителя лица; о юридическом адресе изготовителя, или продавца или уполномоченного изготовителя лица, размере изделия, составе сырья, товарном знаке (при наличии), едином значении обращения продукции на рынке государств - членов Таможенного союза, гарантийных обязательствах изготовителя (при необходимости), дате изготовления, номере партии продукции (при необходимости).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Маркировка и информация должна быть представлена на русском языке или государственном языке государства - члена Таможенного союза, на территории которого данное изделие производится и реализуется потребителю. Для импортной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допускается наименование страны, где изготовлена продукция, наименование изготовителя и его юридический адрес указывать с использованием букв латинского алфавита.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разбирательства, получены с соблюдением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принимает доводы защитника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неправильном составлении протокола, неполноте представленных материалов, отсутствии данных о применяемых в ходе осмотра места происшествия специальных технических средствах, а также о том, что ИП </w:t>
      </w:r>
      <w:r>
        <w:rPr>
          <w:rFonts w:ascii="Times New Roman" w:eastAsia="Times New Roman" w:hAnsi="Times New Roman" w:cs="Times New Roman"/>
          <w:sz w:val="28"/>
          <w:szCs w:val="28"/>
        </w:rPr>
        <w:t>Кудбидинов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М.М. не успел промаркировать недавно полученные им товары, что он не осуществлял их продажу, так как не производилась контрольная закупка.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представленных материалов следует, что все изъятые предметы обуви и товаров легкой промышленности были обнаружены при проверке торгового объекта магазина «</w:t>
      </w:r>
      <w:r>
        <w:rPr>
          <w:rStyle w:val="cat-UserDefinedgrp-67rplc-6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». При этом все товары были выставлены в торговом поме</w:t>
      </w:r>
      <w:r>
        <w:rPr>
          <w:rFonts w:ascii="Times New Roman" w:eastAsia="Times New Roman" w:hAnsi="Times New Roman" w:cs="Times New Roman"/>
          <w:sz w:val="28"/>
          <w:szCs w:val="28"/>
        </w:rPr>
        <w:t>щении на прилавках и стеллажах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прикрепленными на них ценниками, что прямо свидетельствует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том, что указанные товары приобретены, хранились и </w:t>
      </w:r>
      <w:r>
        <w:rPr>
          <w:rFonts w:ascii="Times New Roman" w:eastAsia="Times New Roman" w:hAnsi="Times New Roman" w:cs="Times New Roman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выставлены индивидуальным предпринимателем в торговом объекте с целью их сбыта (продажи). Каждое из указанных действий само по себе уже входит в понятие «оборот»</w:t>
      </w:r>
      <w:r>
        <w:rPr>
          <w:rFonts w:ascii="Times New Roman" w:eastAsia="Times New Roman" w:hAnsi="Times New Roman" w:cs="Times New Roman"/>
          <w:sz w:val="28"/>
          <w:szCs w:val="28"/>
        </w:rPr>
        <w:t>, что и вменено в нарушение индивидуальному предпринимателю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выписке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ЕГРИП основными зарегистрированными видами деятельности 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Кудбидинова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М.М. являются торговля розничная текстильными изделиями, обувью и изделиями из кожи.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примечанию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ст.15.12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од товаром, продукцией, изделием без маркировки в настоящей статье понимаются товар, продукция, изделие без того вида маркировки (средства идентификации, специальной (акцизной) марки, другого способа маркировки), требование о нанесении которого предусмотрено законодательством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изъятые товары не имели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 идентификации </w:t>
      </w:r>
      <w:r>
        <w:rPr>
          <w:rFonts w:ascii="Times New Roman" w:eastAsia="Times New Roman" w:hAnsi="Times New Roman" w:cs="Times New Roman"/>
          <w:sz w:val="28"/>
          <w:szCs w:val="28"/>
        </w:rPr>
        <w:t>DataMatrix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информации, нанесение которой является обязательной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 При этом для установления данного факта не требовалось применение специальных технических средств. Как пояснил представитель административного органа, указанная информация проверяется при помощи любого смартфона с использованием мобильного приложения «Честный знак». Сделать это может любой потребитель.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вышеуказанным нормам и положениям, установленным Правительством Российской Федерации, нанесение средств идентификации на товары легкой промышленности и обувь является обязательным с 01.07.2020. При этом маркировка товара, произведенного на территории Российской Федерации,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производителем, изготовителем, а товара, произведенного за пределами Российской Федерации, импортером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фактического пересечения государственной границы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ИП </w:t>
      </w:r>
      <w:r>
        <w:rPr>
          <w:rFonts w:ascii="Times New Roman" w:eastAsia="Times New Roman" w:hAnsi="Times New Roman" w:cs="Times New Roman"/>
          <w:sz w:val="28"/>
          <w:szCs w:val="28"/>
        </w:rPr>
        <w:t>Кудбидинов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М.М. не является импортером вышеуказанных товаров. Согласно представленным защитником счет-фактурам товары произведены не на территории Российской Федерации, при этом были приобретены индивидуальным предпринимателем у юридического лица, находящегося на территории Российской Федерации. Следовательно, указанные товары на момент приобретения </w:t>
      </w:r>
      <w:r>
        <w:rPr>
          <w:rFonts w:ascii="Times New Roman" w:eastAsia="Times New Roman" w:hAnsi="Times New Roman" w:cs="Times New Roman"/>
          <w:sz w:val="28"/>
          <w:szCs w:val="28"/>
        </w:rPr>
        <w:t>их индивидуальным предпринимателем уже должны были быть промаркированы в установленном порядке.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r>
        <w:rPr>
          <w:rFonts w:ascii="Times New Roman" w:eastAsia="Times New Roman" w:hAnsi="Times New Roman" w:cs="Times New Roman"/>
          <w:sz w:val="28"/>
          <w:szCs w:val="28"/>
        </w:rPr>
        <w:t>Кудбидинова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</w:t>
      </w:r>
      <w:r>
        <w:rPr>
          <w:rFonts w:ascii="Times New Roman" w:eastAsia="Times New Roman" w:hAnsi="Times New Roman" w:cs="Times New Roman"/>
          <w:sz w:val="28"/>
          <w:szCs w:val="28"/>
        </w:rPr>
        <w:t>арушения, предусмотренного ч.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15.12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r>
        <w:rPr>
          <w:rFonts w:ascii="Times New Roman" w:eastAsia="Times New Roman" w:hAnsi="Times New Roman" w:cs="Times New Roman"/>
          <w:sz w:val="28"/>
          <w:szCs w:val="28"/>
        </w:rPr>
        <w:t>Кудбидинова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15.12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продажа товаров и продукции без маркировки и (или) нанесения информации, предусмотренной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 Российской Федерации, в случае, если такая маркировка и (или) нанесение такой информации обязательны, а также хранение, перевозка либо приобретение таких товаров и продукции в целях сбыта, </w:t>
      </w:r>
      <w:r>
        <w:rPr>
          <w:rFonts w:ascii="Times New Roman" w:eastAsia="Times New Roman" w:hAnsi="Times New Roman" w:cs="Times New Roman"/>
          <w:sz w:val="28"/>
          <w:szCs w:val="28"/>
        </w:rPr>
        <w:t>за исключением случаев,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dst629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частью 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6" w:anchor="dst956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частью 1 статьи 6.34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отношение к содеянному.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ч.2 ст.15.12 КоАП РФ предусматривает назначение дополнительного административного наказания в виде конфискации предметов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Между тем, 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37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3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3.7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противоправном владении такого лица по иным причинам и на этом основании подлежащих обращению в собственность государства или уничтожению, конфискацией не является.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hyperlink r:id="rId4" w:anchor="/document/12125267/entry/2910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3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предусмотрено, что в постановлении по делу об административном правонарушении должны быть решены вопросы о вещах, на которые наложен арест, если в отношении их не применено или не может быть применено административное наказание в виде конфискации.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2910032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пунктом 2.1 части 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указанной статьи изъятые из незаконного оборота товары легкой промышленности, перечень которых устанавливается Правительством Российской Федерации, подлежат уничтожению в порядке, установленном Правительством Российской Федерации.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предпринимателем </w:t>
      </w:r>
      <w:r>
        <w:rPr>
          <w:rFonts w:ascii="Times New Roman" w:eastAsia="Times New Roman" w:hAnsi="Times New Roman" w:cs="Times New Roman"/>
          <w:sz w:val="28"/>
          <w:szCs w:val="28"/>
        </w:rPr>
        <w:t>Кудбидиновым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представлены к реализации изделия </w:t>
      </w:r>
      <w:r>
        <w:rPr>
          <w:rFonts w:ascii="Times New Roman" w:eastAsia="Times New Roman" w:hAnsi="Times New Roman" w:cs="Times New Roman"/>
          <w:sz w:val="28"/>
          <w:szCs w:val="28"/>
        </w:rPr>
        <w:t>легкой промышленности и обуви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отсутствии контрольного (идентификационного) знака и маркировки. Реализация (продажа) такого товара запрещена.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приведенных норм находящиеся в незаконном обороте товары легкой промышленности, являющиеся предметами административного правонарушения, подлежат уничтожению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(позиция основана на постановлении ВС РФ от 07.04.2023 №25-АД23-1-К4)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>
        <w:rPr>
          <w:rFonts w:ascii="Times New Roman" w:eastAsia="Times New Roman" w:hAnsi="Times New Roman" w:cs="Times New Roman"/>
          <w:sz w:val="28"/>
          <w:szCs w:val="28"/>
        </w:rPr>
        <w:t>ии изложенного и руков</w:t>
      </w:r>
      <w:r>
        <w:rPr>
          <w:rFonts w:ascii="Times New Roman" w:eastAsia="Times New Roman" w:hAnsi="Times New Roman" w:cs="Times New Roman"/>
          <w:sz w:val="28"/>
          <w:szCs w:val="28"/>
        </w:rPr>
        <w:t>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8"/>
          <w:szCs w:val="28"/>
        </w:rPr>
        <w:t>Кудбидинова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Мехридина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Мухидиновича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наказание в виде админи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Предметы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зъятые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протоколу осмотра места происшествия от 18.04.2025</w:t>
      </w:r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уничтожить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установленном порядке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мирового </w:t>
      </w:r>
      <w:r>
        <w:rPr>
          <w:rFonts w:ascii="Times New Roman" w:eastAsia="Times New Roman" w:hAnsi="Times New Roman" w:cs="Times New Roman"/>
          <w:sz w:val="28"/>
          <w:szCs w:val="28"/>
        </w:rPr>
        <w:t>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>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30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января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0019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02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</w:t>
      </w:r>
      <w:r>
        <w:rPr>
          <w:rFonts w:ascii="Times New Roman" w:eastAsia="Times New Roman" w:hAnsi="Times New Roman" w:cs="Times New Roman"/>
          <w:sz w:val="18"/>
          <w:szCs w:val="18"/>
        </w:rPr>
        <w:t>О.П. Куликова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</w:t>
      </w:r>
      <w:r>
        <w:rPr>
          <w:rFonts w:ascii="Times New Roman" w:eastAsia="Times New Roman" w:hAnsi="Times New Roman" w:cs="Times New Roman"/>
          <w:sz w:val="20"/>
          <w:szCs w:val="20"/>
        </w:rPr>
        <w:t>Единый Казначейский счет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40102810245370000007 в РКЦ г. Ханты-Мансийска,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казначейского счета: 03100643000000018700, </w:t>
      </w:r>
      <w:r>
        <w:rPr>
          <w:rFonts w:ascii="Times New Roman" w:eastAsia="Times New Roman" w:hAnsi="Times New Roman" w:cs="Times New Roman"/>
          <w:sz w:val="20"/>
          <w:szCs w:val="20"/>
        </w:rPr>
        <w:t>БИК 007162163, ОКТМО 71876000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л/с 04871788310,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КБК 141 11601151010012140, ИНН 8601024794, КПП 860101001, Получатель: УФК по Ханты-Мансийскому автономному округу – Югре (Управление </w:t>
      </w:r>
      <w:r>
        <w:rPr>
          <w:rFonts w:ascii="Times New Roman" w:eastAsia="Times New Roman" w:hAnsi="Times New Roman" w:cs="Times New Roman"/>
          <w:sz w:val="20"/>
          <w:szCs w:val="20"/>
        </w:rPr>
        <w:t>Роспотребнадзора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 Ханты-Мансийскому автономному округу – Югре). УИН 14104860008700</w:t>
      </w:r>
      <w:r>
        <w:rPr>
          <w:rFonts w:ascii="Times New Roman" w:eastAsia="Times New Roman" w:hAnsi="Times New Roman" w:cs="Times New Roman"/>
          <w:sz w:val="20"/>
          <w:szCs w:val="20"/>
        </w:rPr>
        <w:t>201821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883652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63rplc-7">
    <w:name w:val="cat-UserDefined grp-63 rplc-7"/>
    <w:basedOn w:val="DefaultParagraphFont"/>
  </w:style>
  <w:style w:type="character" w:customStyle="1" w:styleId="cat-UserDefinedgrp-64rplc-13">
    <w:name w:val="cat-UserDefined grp-64 rplc-13"/>
    <w:basedOn w:val="DefaultParagraphFont"/>
  </w:style>
  <w:style w:type="character" w:customStyle="1" w:styleId="cat-UserDefinedgrp-65rplc-26">
    <w:name w:val="cat-UserDefined grp-65 rplc-26"/>
    <w:basedOn w:val="DefaultParagraphFont"/>
  </w:style>
  <w:style w:type="character" w:customStyle="1" w:styleId="cat-UserDefinedgrp-66rplc-28">
    <w:name w:val="cat-UserDefined grp-66 rplc-28"/>
    <w:basedOn w:val="DefaultParagraphFont"/>
  </w:style>
  <w:style w:type="character" w:customStyle="1" w:styleId="cat-UserDefinedgrp-67rplc-67">
    <w:name w:val="cat-UserDefined grp-67 rplc-6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www.consultant.ru/document/cons_doc_LAW_511080/c8a8c13d283fa3416f79b91b3f36da068225c15b/" TargetMode="External" /><Relationship Id="rId6" Type="http://schemas.openxmlformats.org/officeDocument/2006/relationships/hyperlink" Target="https://www.consultant.ru/document/cons_doc_LAW_511080/0ea7aa8a138ba4c407dede5a5f6028f51e50c47d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AD871-FDB3-4220-AC46-11448891C28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